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-964" w:right="-113" w:hanging="0"/>
        <w:jc w:val="right"/>
        <w:rPr/>
      </w:pPr>
      <w:r>
        <w:rPr/>
        <w:t>Приложение №5</w:t>
      </w:r>
    </w:p>
    <w:p>
      <w:pPr>
        <w:pStyle w:val="Normal"/>
        <w:ind w:right="-146" w:hanging="0"/>
        <w:jc w:val="right"/>
        <w:rPr/>
      </w:pPr>
      <w:r>
        <w:rPr/>
        <w:t xml:space="preserve">к Инструкции по обращению с отходами </w:t>
      </w:r>
    </w:p>
    <w:p>
      <w:pPr>
        <w:pStyle w:val="Normal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План мероприятий по предупреждению и ликвидации чрезвычайных ситуаций техногенного характера, </w:t>
      </w:r>
    </w:p>
    <w:p>
      <w:pPr>
        <w:pStyle w:val="Normal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связанных с обращением с отходами</w:t>
      </w:r>
    </w:p>
    <w:p>
      <w:pPr>
        <w:pStyle w:val="Normal"/>
        <w:jc w:val="center"/>
        <w:rPr>
          <w:b/>
          <w:sz w:val="12"/>
          <w:szCs w:val="12"/>
        </w:rPr>
      </w:pPr>
      <w:r>
        <w:rPr>
          <w:b/>
          <w:sz w:val="12"/>
          <w:szCs w:val="12"/>
        </w:rPr>
      </w:r>
    </w:p>
    <w:tbl>
      <w:tblPr>
        <w:tblW w:w="2256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59"/>
        <w:gridCol w:w="1132"/>
        <w:gridCol w:w="2140"/>
        <w:gridCol w:w="1707"/>
        <w:gridCol w:w="5903"/>
        <w:gridCol w:w="7827"/>
      </w:tblGrid>
      <w:tr>
        <w:trPr>
          <w:tblHeader w:val="true"/>
          <w:trHeight w:val="745" w:hRule="atLeast"/>
          <w:cantSplit w:val="true"/>
        </w:trPr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Наименование вида отход</w:t>
            </w:r>
            <w:r>
              <w:rPr>
                <w:b/>
              </w:rPr>
              <w:t>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-57" w:right="0" w:hanging="0"/>
              <w:jc w:val="center"/>
              <w:rPr>
                <w:b/>
              </w:rPr>
            </w:pPr>
            <w:r>
              <w:rPr>
                <w:b/>
              </w:rPr>
              <w:t>Класс опасности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Опасные свойства, которые могут привести к аварийной ситуации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Возможные аварийные ситуации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Мероприятия по предупреждению ЧС техногенного характера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Мероприятия по ликвидации ЧС техногенного характера</w:t>
            </w:r>
          </w:p>
        </w:tc>
      </w:tr>
      <w:tr>
        <w:trPr/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Лампы ртутные, ртутно-кварцевые, люминесцентные, утратившие потребительские свойства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токсичность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Бой ламп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Лампы одного вида складируются в заводской упаковке, переложены картонными чехлами (отдельно упакованные). Отход</w:t>
            </w:r>
            <w:r>
              <w:rPr/>
              <w:t>ы</w:t>
            </w:r>
            <w:r>
              <w:rPr/>
              <w:t xml:space="preserve"> складируется в закрытом помещении / металлическом контейнере. Помещение исключает доступ посторонних (закрывается на замок, индивидуальным ключом ответственного лица). Не допускается накопление отход</w:t>
            </w:r>
            <w:r>
              <w:rPr/>
              <w:t>ов</w:t>
            </w:r>
            <w:r>
              <w:rPr/>
              <w:t xml:space="preserve"> под открытым небом, в местах доступных посторонним лицам, без тары. 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/>
              <w:t>Допускается установка плотных картонных коробок друг на друга, при выполнении условия, что лампы не будут раздавлены.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 xml:space="preserve">В случае возникновения аварийной ситуации, в частности боя ртутьсодержащей лампы, загрязненное помещение / </w:t>
            </w:r>
            <w:r>
              <w:rPr/>
              <w:t>металлический контейнер</w:t>
            </w:r>
            <w:r>
              <w:rPr/>
              <w:t xml:space="preserve"> должн</w:t>
            </w:r>
            <w:r>
              <w:rPr/>
              <w:t>ы</w:t>
            </w:r>
            <w:r>
              <w:rPr/>
              <w:t xml:space="preserve"> быть покинут</w:t>
            </w:r>
            <w:r>
              <w:rPr/>
              <w:t>ы</w:t>
            </w:r>
            <w:r>
              <w:rPr/>
              <w:t xml:space="preserve"> людьми и должен быть организован вызов специализированных организаций для проведения комплекса мероприятий по обеззараживанию помещения /</w:t>
            </w:r>
            <w:r>
              <w:rPr/>
              <w:t>металлического контейнера</w:t>
            </w:r>
            <w:r>
              <w:rPr/>
              <w:t>.</w:t>
            </w:r>
          </w:p>
          <w:p>
            <w:pPr>
              <w:pStyle w:val="Normal"/>
              <w:widowControl w:val="false"/>
              <w:rPr/>
            </w:pPr>
            <w:r>
              <w:rPr/>
              <w:t>Обезвреживание ртутного загрязнения может быть выполнено организацией самостоятельно с помощью демеркуризационного комплекта, включающего в себя необходимые препараты (вещества) и материалы для очистки помещений от локальных ртутных загрязнений, не требующего специальных мер безопасности при использовании.</w:t>
            </w:r>
          </w:p>
        </w:tc>
      </w:tr>
      <w:tr>
        <w:trPr/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 xml:space="preserve">Аккумуляторы стационарные свинцово-кислотные, утратившие потребительские свойства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токсичность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Розлив электролита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Отход</w:t>
            </w:r>
            <w:r>
              <w:rPr/>
              <w:t>ы</w:t>
            </w:r>
            <w:r>
              <w:rPr/>
              <w:t xml:space="preserve"> накапливается в специально оборудованном </w:t>
            </w:r>
            <w:r>
              <w:rPr/>
              <w:t>металлической контейнере</w:t>
            </w:r>
            <w:r>
              <w:rPr/>
              <w:t xml:space="preserve">, исключающем доступ посторонних лиц.  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В случае розлива, электролит нейтрализуется негашеной известью или содой с использованием средств защиты.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>Аккумуляторные батареи источников бесперебойного питания свинцово-кислотные, утратившие потребительские свойства, с электролитом</w:t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токсичность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Розлив электролита</w:t>
            </w:r>
          </w:p>
        </w:tc>
        <w:tc>
          <w:tcPr>
            <w:tcW w:w="59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Отход</w:t>
            </w:r>
            <w:r>
              <w:rPr/>
              <w:t>ы</w:t>
            </w:r>
            <w:r>
              <w:rPr/>
              <w:t xml:space="preserve"> накапливается в специально оборудованном </w:t>
            </w:r>
            <w:r>
              <w:rPr/>
              <w:t>металлической контейнере</w:t>
            </w:r>
            <w:r>
              <w:rPr/>
              <w:t xml:space="preserve">, исключающем доступ посторонних лиц.  </w:t>
            </w:r>
          </w:p>
        </w:tc>
        <w:tc>
          <w:tcPr>
            <w:tcW w:w="7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В случае розлива, электролит нейтрализуется негашеной известью или содой с использованием средств защиты.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Отходы минеральных масел технологических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пожароопасность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Случайное возгорание</w:t>
            </w:r>
          </w:p>
        </w:tc>
        <w:tc>
          <w:tcPr>
            <w:tcW w:w="5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По мере образования отход</w:t>
            </w:r>
            <w:r>
              <w:rPr/>
              <w:t>ы</w:t>
            </w:r>
            <w:r>
              <w:rPr/>
              <w:t xml:space="preserve"> накаплива</w:t>
            </w:r>
            <w:r>
              <w:rPr/>
              <w:t>ю</w:t>
            </w:r>
            <w:r>
              <w:rPr/>
              <w:t>тся и хран</w:t>
            </w:r>
            <w:r>
              <w:rPr/>
              <w:t>я</w:t>
            </w:r>
            <w:r>
              <w:rPr/>
              <w:t xml:space="preserve">тся в маркированной, герметичной металлической емкости. Способ хранения – раздельно, в специально отведенном месте. </w:t>
            </w:r>
          </w:p>
        </w:tc>
        <w:tc>
          <w:tcPr>
            <w:tcW w:w="7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При случайном возгорании отход</w:t>
            </w:r>
            <w:r>
              <w:rPr/>
              <w:t>ов</w:t>
            </w:r>
            <w:r>
              <w:rPr/>
              <w:t xml:space="preserve"> принять меры к тушению и сообщить в пожарную охрану, используя любые возможные средства связи:</w:t>
            </w:r>
          </w:p>
          <w:p>
            <w:pPr>
              <w:pStyle w:val="Normal"/>
              <w:widowControl w:val="false"/>
              <w:rPr/>
            </w:pPr>
            <w:r>
              <w:rPr/>
              <w:t>- мобильная связь: по номеру 101 или по единому номеру 112;</w:t>
            </w:r>
          </w:p>
          <w:p>
            <w:pPr>
              <w:pStyle w:val="Normal"/>
              <w:widowControl w:val="false"/>
              <w:rPr/>
            </w:pPr>
            <w:r>
              <w:rPr/>
              <w:t>- стационарная связь: по единому номеру 9-112 - система обеспечения вызова экстренных оперативных служб. Указать: что случилось, наименование объекта, адрес места его расположения, место возникновения пожара, а также фамилию и должность сообщающего информацию.</w:t>
            </w:r>
          </w:p>
          <w:p>
            <w:pPr>
              <w:pStyle w:val="Normal"/>
              <w:widowControl w:val="false"/>
              <w:rPr/>
            </w:pPr>
            <w:r>
              <w:rPr/>
              <w:t>Продублировать данное сообщение Начальнику смены станции по телефону (3-52 или 3-75) или Начальнику смены электрокотельной (3-29 или 3-30), в зависимости от зоны ответственности. При этом, дополнительно сообщить о факте вызова/не вызова пожарной охраны.</w:t>
            </w:r>
          </w:p>
        </w:tc>
      </w:tr>
      <w:tr>
        <w:trPr/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fill="auto" w:val="clear"/>
                <w:lang w:eastAsia="ru-RU"/>
              </w:rPr>
              <w:t>Нефтяные промывочные жидкости, утратившие потребительские свойства, не загрязненные веществами 1-2 классов опасности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пожароопасность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Случайное возгорание</w:t>
            </w:r>
          </w:p>
        </w:tc>
        <w:tc>
          <w:tcPr>
            <w:tcW w:w="5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Смесь масел минеральных отработанных, не содержащих галогены, пригодная для утилизации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пожароопасность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Случайное возгорание</w:t>
            </w:r>
          </w:p>
        </w:tc>
        <w:tc>
          <w:tcPr>
            <w:tcW w:w="5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Воды замасленные емкостей аварийного слива масла маслонаполненного электрооборудования (содержание нефтепродуктов менее 15%)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пожароопасность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Случайное возгорание</w:t>
            </w:r>
          </w:p>
        </w:tc>
        <w:tc>
          <w:tcPr>
            <w:tcW w:w="5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Фильтры очистки масла турбин отработанные (содержание нефтепродуктов 15% и более)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пожароопасность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Случайное возгорание</w:t>
            </w:r>
          </w:p>
        </w:tc>
        <w:tc>
          <w:tcPr>
            <w:tcW w:w="5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Отход</w:t>
            </w:r>
            <w:r>
              <w:rPr/>
              <w:t>ы</w:t>
            </w:r>
            <w:r>
              <w:rPr/>
              <w:t xml:space="preserve"> накапливается в металлическом закрывающемся контейнере, установленном в пожаробезопасном месте в помещении и в металлических герметичных бочках на открытой влагонепроницаемой площадке, огражденной сеткой, под навесом, укомплектованн</w:t>
            </w:r>
            <w:r>
              <w:rPr/>
              <w:t>ой</w:t>
            </w:r>
            <w:r>
              <w:rPr/>
              <w:t xml:space="preserve"> средствами пожаротушения.</w:t>
            </w:r>
          </w:p>
        </w:tc>
        <w:tc>
          <w:tcPr>
            <w:tcW w:w="7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При случайном возгорании отхода принять меры к тушению и сообщить в пожарную охрану, используя любые возможные средства связи:</w:t>
            </w:r>
          </w:p>
          <w:p>
            <w:pPr>
              <w:pStyle w:val="Normal"/>
              <w:widowControl w:val="false"/>
              <w:rPr/>
            </w:pPr>
            <w:r>
              <w:rPr/>
              <w:t>- мобильная связь: по номеру 101 или по единому номеру 112;</w:t>
            </w:r>
          </w:p>
          <w:p>
            <w:pPr>
              <w:pStyle w:val="Normal"/>
              <w:widowControl w:val="false"/>
              <w:rPr/>
            </w:pPr>
            <w:r>
              <w:rPr/>
              <w:t>- стационарная связь: по единому номеру 9-112 - система обеспечения вызова экстренных оперативных служб. Указать: что случилось, наименование объекта, адрес места его расположения, место возникновения пожара, а также фамилию и должность сообщающего информацию.</w:t>
            </w:r>
          </w:p>
          <w:p>
            <w:pPr>
              <w:pStyle w:val="Normal"/>
              <w:widowControl w:val="false"/>
              <w:rPr/>
            </w:pPr>
            <w:r>
              <w:rPr/>
              <w:t>Продублировать данное сообщение Начальнику смены станции по телефону (3-52 или 3-75) или Начальнику смены электрокотельной (3-29 или 3-30), в зависимости от зоны ответственности. При этом, дополнительно сообщить о факте вызова/не вызова пожарной охраны.</w:t>
            </w:r>
          </w:p>
        </w:tc>
      </w:tr>
      <w:tr>
        <w:trPr>
          <w:trHeight w:val="812" w:hRule="atLeast"/>
        </w:trPr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пожароопасность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Случайное возгорание</w:t>
            </w:r>
          </w:p>
        </w:tc>
        <w:tc>
          <w:tcPr>
            <w:tcW w:w="5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14" w:hanging="0"/>
              <w:rPr/>
            </w:pPr>
            <w:r>
              <w:rPr/>
              <w:t>Силикагель отработанный, загрязненный нефтью и нефтепродуктами (содержание нефтепродуктов менее 15%)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пожароопасность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Случайное возгорание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Отход</w:t>
            </w:r>
            <w:r>
              <w:rPr/>
              <w:t>ы</w:t>
            </w:r>
            <w:r>
              <w:rPr/>
              <w:t xml:space="preserve"> накапливается в металлических бочках на открытой влагонепроницаемой площадке, огражденной сеткой, под навесом, укомплектованной средствами пожаротушения.</w:t>
            </w:r>
          </w:p>
        </w:tc>
        <w:tc>
          <w:tcPr>
            <w:tcW w:w="7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980" w:hRule="atLeast"/>
        </w:trPr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 xml:space="preserve">Отходы IV и V класса опасности, передаваемые на размещение, накапливаемые  в контейнерах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IV</w:t>
            </w:r>
            <w:r>
              <w:rPr/>
              <w:t>, V</w:t>
            </w:r>
            <w:bookmarkStart w:id="0" w:name="_GoBack"/>
            <w:bookmarkEnd w:id="0"/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color w:val="000000"/>
              </w:rPr>
              <w:t xml:space="preserve">Данные не установлены  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Случайное возгорание, попадание отхода вне контейнеров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/>
              <w:t>Отход</w:t>
            </w:r>
            <w:r>
              <w:rPr/>
              <w:t>ы</w:t>
            </w:r>
            <w:r>
              <w:rPr/>
              <w:t xml:space="preserve"> складируется в смеси с другими отходами в стандартн</w:t>
            </w:r>
            <w:r>
              <w:rPr/>
              <w:t>ых</w:t>
            </w:r>
            <w:r>
              <w:rPr/>
              <w:t xml:space="preserve"> металлическ</w:t>
            </w:r>
            <w:r>
              <w:rPr/>
              <w:t>их</w:t>
            </w:r>
            <w:r>
              <w:rPr/>
              <w:t xml:space="preserve"> контейнер</w:t>
            </w:r>
            <w:r>
              <w:rPr/>
              <w:t>ах</w:t>
            </w:r>
            <w:r>
              <w:rPr/>
              <w:t>, расположенн</w:t>
            </w:r>
            <w:r>
              <w:rPr/>
              <w:t>ых</w:t>
            </w:r>
            <w:r>
              <w:rPr/>
              <w:t xml:space="preserve"> на бетонн</w:t>
            </w:r>
            <w:r>
              <w:rPr/>
              <w:t>ых</w:t>
            </w:r>
            <w:r>
              <w:rPr/>
              <w:t xml:space="preserve"> площадк</w:t>
            </w:r>
            <w:r>
              <w:rPr/>
              <w:t>ах</w:t>
            </w:r>
            <w:r>
              <w:rPr/>
              <w:t xml:space="preserve"> для накопления отходов </w:t>
            </w:r>
            <w:r>
              <w:rPr/>
              <w:t>IV</w:t>
            </w:r>
            <w:r>
              <w:rPr/>
              <w:t xml:space="preserve">, </w:t>
            </w:r>
            <w:r>
              <w:rPr/>
              <w:t>V</w:t>
            </w:r>
            <w:r>
              <w:rPr/>
              <w:t xml:space="preserve"> класс</w:t>
            </w:r>
            <w:r>
              <w:rPr/>
              <w:t>ов</w:t>
            </w:r>
            <w:r>
              <w:rPr/>
              <w:t xml:space="preserve"> опасности, имеющей бортики и удобный подъездной путь. </w:t>
            </w:r>
            <w:r>
              <w:rPr>
                <w:color w:val="000000"/>
              </w:rPr>
              <w:t xml:space="preserve">Погрузка и транспортирование осуществляется специализированным транспортом. Не допускается переполнение контейнеров, накопление отходов в контейнерах более недели, накопление отходов вне контейнеров, поступление в контейнер не разрешенных к приему на ОРО, в особенности </w:t>
            </w:r>
            <w:r>
              <w:rPr>
                <w:color w:val="000000"/>
              </w:rPr>
              <w:t>I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</w:rPr>
              <w:t>II</w:t>
            </w:r>
            <w:r>
              <w:rPr>
                <w:color w:val="000000"/>
              </w:rPr>
              <w:t xml:space="preserve"> класс</w:t>
            </w:r>
            <w:r>
              <w:rPr>
                <w:color w:val="000000"/>
              </w:rPr>
              <w:t>jd</w:t>
            </w:r>
            <w:r>
              <w:rPr>
                <w:color w:val="000000"/>
              </w:rPr>
              <w:t xml:space="preserve"> опасности (люминесцентные лампы, аккумуляторы и т.п.). Категорически запрещено помещать в контейнера горящие или тлеющие предметы. 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При случайном возгорании отходов принять меры к тушению и сообщить в пожарную охрану, используя любые возможные средства связи:</w:t>
            </w:r>
          </w:p>
          <w:p>
            <w:pPr>
              <w:pStyle w:val="Normal"/>
              <w:widowControl w:val="false"/>
              <w:rPr/>
            </w:pPr>
            <w:r>
              <w:rPr/>
              <w:t>- мобильная связь: по номеру 101 или по единому номеру 112;</w:t>
            </w:r>
          </w:p>
          <w:p>
            <w:pPr>
              <w:pStyle w:val="Normal"/>
              <w:widowControl w:val="false"/>
              <w:rPr/>
            </w:pPr>
            <w:r>
              <w:rPr/>
              <w:t>- стационарная связь: по единому номеру 9-112 - система обеспечения вызова экстренных оперативных служб. Указать: что случилось, наименование объекта, адрес места его расположения, место возникновения пожара, а также фамилию и должность сообщающего информацию.</w:t>
            </w:r>
          </w:p>
          <w:p>
            <w:pPr>
              <w:pStyle w:val="Normal"/>
              <w:widowControl w:val="false"/>
              <w:rPr/>
            </w:pPr>
            <w:r>
              <w:rPr/>
              <w:t>Продублировать данное сообщение Начальнику смены станции по телефону (3-52 или 3-75) или Начальнику смены электрокотельной (3-29 или 3-30), в зависимости от зоны ответственности. При этом, дополнительно сообщить о факте вызова/не вызова пожарной охраны.</w:t>
            </w:r>
          </w:p>
          <w:p>
            <w:pPr>
              <w:pStyle w:val="Normal"/>
              <w:widowControl w:val="false"/>
              <w:rPr/>
            </w:pPr>
            <w:r>
              <w:rPr/>
              <w:t>При попадании отходов вне контейнеров, своевременно осуществлять уборку площадки для накопления отходов и прилегающей к ней территории.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23811" w:h="16838"/>
      <w:pgMar w:left="658" w:right="630" w:gutter="0" w:header="0" w:top="113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14f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Application>AlterOffice/3.4.0.9$Linux_X86_64 LibreOffice_project/b8daf9e823b1a5463a2f48435ddc2e8696e7d4fc</Application>
  <AppVersion>15.0000</AppVersion>
  <Pages>1</Pages>
  <Words>830</Words>
  <Characters>6123</Characters>
  <CharactersWithSpaces>6890</CharactersWithSpaces>
  <Paragraphs>79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2022-11-03T02:45:00Z</dcterms:created>
  <dc:creator>Сербиенко Ксения Андреевна</dc:creator>
  <dc:description/>
  <dc:language>ru-RU</dc:language>
  <cp:lastModifiedBy>serbienkoka@corp.gidroogk.com</cp:lastModifiedBy>
  <dcterms:modified xsi:type="dcterms:W3CDTF">2026-04-29T10:09:56Z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